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line="460" w:lineRule="exact"/>
        <w:rPr>
          <w:rFonts w:ascii="宋体" w:hAnsi="宋体" w:eastAsia="宋体" w:cs="宋体"/>
          <w:b/>
          <w:sz w:val="36"/>
          <w:szCs w:val="36"/>
        </w:rPr>
      </w:pPr>
      <w:bookmarkStart w:id="0" w:name="OLE_LINK10"/>
      <w:bookmarkStart w:id="1" w:name="OLE_LINK15"/>
      <w:bookmarkStart w:id="7" w:name="_GoBack"/>
      <w:bookmarkEnd w:id="7"/>
      <w:r>
        <w:rPr>
          <w:rFonts w:hint="eastAsia" w:ascii="宋体" w:hAnsi="宋体" w:eastAsia="宋体" w:cs="宋体"/>
          <w:b/>
          <w:sz w:val="36"/>
          <w:szCs w:val="36"/>
        </w:rPr>
        <w:t>第四章 采购需求</w:t>
      </w:r>
    </w:p>
    <w:p>
      <w:pPr>
        <w:pStyle w:val="8"/>
        <w:spacing w:before="0" w:beforeAutospacing="0" w:after="0" w:afterAutospacing="0" w:line="460" w:lineRule="exact"/>
        <w:ind w:firstLine="480"/>
        <w:jc w:val="both"/>
        <w:rPr>
          <w:bCs/>
          <w:shd w:val="clear" w:color="auto" w:fill="FFFFFF"/>
        </w:rPr>
      </w:pPr>
      <w:r>
        <w:rPr>
          <w:rFonts w:hint="eastAsia"/>
          <w:bCs/>
          <w:shd w:val="clear" w:color="auto" w:fill="FFFFFF"/>
        </w:rPr>
        <w:t>项目属性:服务类项目。</w:t>
      </w:r>
    </w:p>
    <w:p>
      <w:pPr>
        <w:spacing w:line="460" w:lineRule="exact"/>
        <w:ind w:firstLine="480"/>
        <w:rPr>
          <w:vanish/>
        </w:rPr>
      </w:pPr>
    </w:p>
    <w:p>
      <w:pPr>
        <w:tabs>
          <w:tab w:val="left" w:pos="5325"/>
        </w:tabs>
        <w:spacing w:line="460" w:lineRule="exact"/>
        <w:ind w:firstLine="516"/>
        <w:contextualSpacing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一、项目概况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bookmarkStart w:id="2" w:name="heading_1"/>
      <w:r>
        <w:rPr>
          <w:rFonts w:ascii="宋体" w:hAnsi="宋体"/>
          <w:b/>
          <w:sz w:val="24"/>
          <w:szCs w:val="24"/>
        </w:rPr>
        <w:t>（一）项目背景</w:t>
      </w:r>
      <w:bookmarkEnd w:id="2"/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盐城房产超市项目</w:t>
      </w:r>
      <w:r>
        <w:rPr>
          <w:rFonts w:hint="eastAsia" w:ascii="宋体" w:hAnsi="宋体"/>
          <w:sz w:val="24"/>
          <w:szCs w:val="24"/>
        </w:rPr>
        <w:t>运行一年以来，</w:t>
      </w:r>
      <w:r>
        <w:rPr>
          <w:rFonts w:ascii="宋体" w:hAnsi="宋体"/>
          <w:sz w:val="24"/>
          <w:szCs w:val="24"/>
        </w:rPr>
        <w:t>通过“政府引导、媒体搭台、企业参与、市民受益”的</w:t>
      </w:r>
      <w:r>
        <w:rPr>
          <w:rFonts w:hint="eastAsia" w:ascii="宋体" w:hAnsi="宋体"/>
          <w:sz w:val="24"/>
          <w:szCs w:val="24"/>
        </w:rPr>
        <w:t>运营模式</w:t>
      </w:r>
      <w:r>
        <w:rPr>
          <w:rFonts w:ascii="宋体" w:hAnsi="宋体"/>
          <w:sz w:val="24"/>
          <w:szCs w:val="24"/>
        </w:rPr>
        <w:t>，整合本地房产资源，开展系列房产促销活动，</w:t>
      </w:r>
      <w:r>
        <w:rPr>
          <w:rFonts w:hint="eastAsia" w:ascii="宋体" w:hAnsi="宋体"/>
          <w:sz w:val="24"/>
          <w:szCs w:val="24"/>
        </w:rPr>
        <w:t>在</w:t>
      </w:r>
      <w:r>
        <w:rPr>
          <w:rFonts w:ascii="宋体" w:hAnsi="宋体"/>
          <w:sz w:val="24"/>
          <w:szCs w:val="24"/>
        </w:rPr>
        <w:t>激活盐城房地产市场消费潜力、优化住房供需对接</w:t>
      </w:r>
      <w:r>
        <w:rPr>
          <w:rFonts w:hint="eastAsia" w:ascii="宋体" w:hAnsi="宋体"/>
          <w:sz w:val="24"/>
          <w:szCs w:val="24"/>
        </w:rPr>
        <w:t>方面</w:t>
      </w:r>
      <w:r>
        <w:rPr>
          <w:rFonts w:ascii="宋体" w:hAnsi="宋体"/>
          <w:sz w:val="24"/>
          <w:szCs w:val="24"/>
        </w:rPr>
        <w:t>发挥了重要作用。结合当前盐城房地产市场持续复苏的发展态势、市民多元化购房需求的升级趋势，以及房企对精准营销、长效展示渠道的迫切需求，为巩固运营成果、深化项目服务效能、推动房产超市项目持续健康发展，盐城市房产超市</w:t>
      </w:r>
      <w:r>
        <w:rPr>
          <w:rFonts w:hint="eastAsia" w:ascii="宋体" w:hAnsi="宋体"/>
          <w:sz w:val="24"/>
          <w:szCs w:val="24"/>
        </w:rPr>
        <w:t>进入</w:t>
      </w:r>
      <w:r>
        <w:rPr>
          <w:rFonts w:ascii="宋体" w:hAnsi="宋体"/>
          <w:sz w:val="24"/>
          <w:szCs w:val="24"/>
        </w:rPr>
        <w:t>第二年运营</w:t>
      </w:r>
      <w:r>
        <w:rPr>
          <w:rFonts w:hint="eastAsia" w:ascii="宋体" w:hAnsi="宋体"/>
          <w:sz w:val="24"/>
          <w:szCs w:val="24"/>
        </w:rPr>
        <w:t>宣传阶段</w:t>
      </w:r>
      <w:r>
        <w:rPr>
          <w:rFonts w:ascii="宋体" w:hAnsi="宋体"/>
          <w:sz w:val="24"/>
          <w:szCs w:val="24"/>
        </w:rPr>
        <w:t>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本次运营</w:t>
      </w:r>
      <w:r>
        <w:rPr>
          <w:rFonts w:hint="eastAsia" w:ascii="宋体" w:hAnsi="宋体"/>
          <w:sz w:val="24"/>
          <w:szCs w:val="24"/>
        </w:rPr>
        <w:t>宣传</w:t>
      </w:r>
      <w:r>
        <w:rPr>
          <w:rFonts w:ascii="宋体" w:hAnsi="宋体"/>
          <w:sz w:val="24"/>
          <w:szCs w:val="24"/>
        </w:rPr>
        <w:t>项目，需依托专业的运营能力、广泛的传播资源及深厚的本地影响力，拥有丰富的全媒体资源、完善的运营团队及深厚的项目运营积淀，确保项目持续发挥激活住房消费、服务民生、助力房企发展的核心价值。</w:t>
      </w:r>
    </w:p>
    <w:p>
      <w:pPr>
        <w:pStyle w:val="18"/>
        <w:spacing w:line="460" w:lineRule="exact"/>
        <w:ind w:left="726" w:leftChars="182" w:hanging="344" w:hangingChars="164"/>
        <w:rPr>
          <w:rFonts w:ascii="宋体" w:hAnsi="宋体"/>
        </w:rPr>
      </w:pPr>
      <w:bookmarkStart w:id="3" w:name="heading_2"/>
      <w:r>
        <w:rPr>
          <w:rFonts w:ascii="宋体" w:hAnsi="宋体"/>
          <w:b/>
        </w:rPr>
        <w:t>（二）</w:t>
      </w:r>
      <w:r>
        <w:rPr>
          <w:rFonts w:hint="eastAsia" w:ascii="宋体" w:hAnsi="宋体"/>
          <w:b/>
        </w:rPr>
        <w:t>服务</w:t>
      </w:r>
      <w:r>
        <w:rPr>
          <w:rFonts w:ascii="宋体" w:hAnsi="宋体"/>
          <w:b/>
        </w:rPr>
        <w:t>目的</w:t>
      </w:r>
      <w:bookmarkEnd w:id="3"/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ascii="宋体" w:hAnsi="宋体"/>
          <w:sz w:val="24"/>
          <w:szCs w:val="24"/>
        </w:rPr>
        <w:t>深化“政府引导、媒体搭台、企业参与、市民受益”的运营模式，实现房产展示、政策解读、供需对接、交易促进、数据反馈的全流程升级，打造盐城本地极具影响力的房产服务标杆平台。</w:t>
      </w:r>
    </w:p>
    <w:p>
      <w:pPr>
        <w:spacing w:line="460" w:lineRule="exact"/>
        <w:ind w:firstLine="480" w:firstLineChars="20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</w:t>
      </w:r>
      <w:r>
        <w:rPr>
          <w:rFonts w:ascii="宋体" w:hAnsi="宋体"/>
          <w:sz w:val="24"/>
          <w:szCs w:val="24"/>
        </w:rPr>
        <w:t>依托全媒体传播优势，创新宣传推广模式，实现精准触达购房群体，进一步扩大项目覆盖面与影响力，提升房产促销活动的参与度、转化率，持续激活盐城住房消费潜力，助力稳定房地产市场预期。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</w:t>
      </w:r>
      <w:r>
        <w:rPr>
          <w:rFonts w:ascii="宋体" w:hAnsi="宋体"/>
          <w:sz w:val="24"/>
          <w:szCs w:val="24"/>
        </w:rPr>
        <w:t>深化资源整合效能，联动本地房企、中介机构、自媒体及相关部门，建立长效合作机制，结合市场实际需求，高效组织系列精准化房产促销活动，为房企提供更具针对性的展示与营销服务，为市民提供更便捷、透明的购房指引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</w:t>
      </w:r>
      <w:r>
        <w:rPr>
          <w:rFonts w:ascii="宋体" w:hAnsi="宋体"/>
          <w:sz w:val="24"/>
          <w:szCs w:val="24"/>
        </w:rPr>
        <w:t>依托专业运营团队与项目运营经验，完善项目运营体系，优化服务流程，加强舆情管理与数据复盘，为盐城房地产市场发展提供更精准的数据支撑与实践参考，推动房地产市场与城市发展协同共进。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bookmarkStart w:id="4" w:name="heading_3"/>
      <w:r>
        <w:rPr>
          <w:rFonts w:ascii="宋体" w:hAnsi="宋体"/>
          <w:b/>
          <w:sz w:val="24"/>
          <w:szCs w:val="24"/>
        </w:rPr>
        <w:t>（三）主要</w:t>
      </w:r>
      <w:r>
        <w:rPr>
          <w:rFonts w:hint="eastAsia" w:ascii="宋体" w:hAnsi="宋体"/>
          <w:b/>
          <w:sz w:val="24"/>
          <w:szCs w:val="24"/>
        </w:rPr>
        <w:t>服务</w:t>
      </w:r>
      <w:r>
        <w:rPr>
          <w:rFonts w:ascii="宋体" w:hAnsi="宋体"/>
          <w:b/>
          <w:sz w:val="24"/>
          <w:szCs w:val="24"/>
        </w:rPr>
        <w:t>内容</w:t>
      </w:r>
      <w:bookmarkEnd w:id="4"/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围绕盐城房产超市运营工作，开展全方位、专业化的运营服务，核心内容包括但不限于：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ascii="宋体" w:hAnsi="宋体"/>
          <w:sz w:val="24"/>
          <w:szCs w:val="24"/>
        </w:rPr>
        <w:t>运营营销活动深化：策划并落地“住房+”系列升级活动、大型房产展销活动、刚需/改善/人才等特定人群购房专场活动，深化房企、中介、自媒体等资源联动，提升活动成交转化效能，制定科学完善的年度运营计划并严格落地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2</w:t>
      </w:r>
      <w:r>
        <w:rPr>
          <w:rFonts w:hint="eastAsia" w:ascii="宋体" w:hAnsi="宋体"/>
          <w:sz w:val="24"/>
          <w:szCs w:val="24"/>
        </w:rPr>
        <w:t>、</w:t>
      </w:r>
      <w:r>
        <w:rPr>
          <w:rFonts w:ascii="宋体" w:hAnsi="宋体"/>
          <w:sz w:val="24"/>
          <w:szCs w:val="24"/>
        </w:rPr>
        <w:t>全媒体宣传升级：依托覆盖全市的全媒体资源平台及传播手段，创新宣传形式，开展多渠道、精准化宣传推广，包括新闻报道、专题宣传、短视频推广、直播互动</w:t>
      </w:r>
      <w:r>
        <w:rPr>
          <w:rFonts w:hint="eastAsia" w:ascii="宋体" w:hAnsi="宋体"/>
          <w:sz w:val="24"/>
          <w:szCs w:val="24"/>
        </w:rPr>
        <w:t>、车载广播、户外宣传、公交及政府楼宇移动电视</w:t>
      </w:r>
      <w:r>
        <w:rPr>
          <w:rFonts w:ascii="宋体" w:hAnsi="宋体"/>
          <w:sz w:val="24"/>
          <w:szCs w:val="24"/>
        </w:rPr>
        <w:t>等，扩大项目影响力，提升宣传触达率与转化率。</w:t>
      </w:r>
      <w:r>
        <w:rPr>
          <w:rFonts w:hint="eastAsia" w:ascii="宋体" w:hAnsi="宋体"/>
          <w:sz w:val="24"/>
          <w:szCs w:val="24"/>
        </w:rPr>
        <w:t>全面精准摸排刚需、改善性等各类住房需求群体，精准推介、精准宣传。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</w:t>
      </w:r>
      <w:r>
        <w:rPr>
          <w:rFonts w:ascii="宋体" w:hAnsi="宋体"/>
          <w:sz w:val="24"/>
          <w:szCs w:val="24"/>
        </w:rPr>
        <w:t>资源整合优化：基于对房产超市项目的深刻理解，深化本地房企、中介机构、自媒体、相关政府部门等资源整合，建立长效合作机制，优化资源配置，为房企提供定制化展示与营销服务，为市民提供多元化购房选择与专业指引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</w:t>
      </w:r>
      <w:r>
        <w:rPr>
          <w:rFonts w:ascii="宋体" w:hAnsi="宋体"/>
          <w:sz w:val="24"/>
          <w:szCs w:val="24"/>
        </w:rPr>
        <w:t>政策解读与舆情管理升级：及时、精准解读房产相关政策，正面引导市场舆论，完善舆情监测与处置机制，妥善处理负面舆情，维护项目及房地产市场良好形象；结合运营数据，定期开展市场分析与舆情复盘。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5、</w:t>
      </w:r>
      <w:r>
        <w:rPr>
          <w:rFonts w:ascii="宋体" w:hAnsi="宋体"/>
          <w:sz w:val="24"/>
          <w:szCs w:val="24"/>
        </w:rPr>
        <w:t>团队与平台提质：</w:t>
      </w:r>
      <w:r>
        <w:rPr>
          <w:rFonts w:hint="eastAsia" w:ascii="宋体" w:hAnsi="宋体"/>
          <w:sz w:val="24"/>
          <w:szCs w:val="24"/>
        </w:rPr>
        <w:t>具备不少于5人的专职</w:t>
      </w:r>
      <w:r>
        <w:rPr>
          <w:rFonts w:ascii="宋体" w:hAnsi="宋体"/>
          <w:sz w:val="24"/>
          <w:szCs w:val="24"/>
        </w:rPr>
        <w:t>专业运营团队，具备丰富的同类项目运营经验，搭建并优化项目专属</w:t>
      </w:r>
      <w:r>
        <w:rPr>
          <w:rFonts w:hint="eastAsia" w:ascii="宋体" w:hAnsi="宋体"/>
          <w:sz w:val="24"/>
          <w:szCs w:val="24"/>
        </w:rPr>
        <w:t>新媒体</w:t>
      </w:r>
      <w:r>
        <w:rPr>
          <w:rFonts w:ascii="宋体" w:hAnsi="宋体"/>
          <w:sz w:val="24"/>
          <w:szCs w:val="24"/>
        </w:rPr>
        <w:t>宣传账号矩阵，完善平台运营流程，</w:t>
      </w:r>
      <w:r>
        <w:rPr>
          <w:rFonts w:hint="eastAsia" w:ascii="宋体" w:hAnsi="宋体"/>
          <w:sz w:val="24"/>
          <w:szCs w:val="24"/>
        </w:rPr>
        <w:t>制定全年活动计划并实施，负责活动策划、组织和文稿撰写、PPT制作、图片拍摄、视频制作、材料总结和归档等，</w:t>
      </w:r>
      <w:r>
        <w:rPr>
          <w:rFonts w:ascii="宋体" w:hAnsi="宋体"/>
          <w:sz w:val="24"/>
          <w:szCs w:val="24"/>
        </w:rPr>
        <w:t>提升服务响应速度与专业水平，保障项目有序、高效推进。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6、</w:t>
      </w:r>
      <w:r>
        <w:rPr>
          <w:rFonts w:ascii="宋体" w:hAnsi="宋体"/>
          <w:sz w:val="24"/>
          <w:szCs w:val="24"/>
        </w:rPr>
        <w:t>数据复盘与优化：定期对项目运营数据、宣传数据、活动成交数据等进行复盘分析，形成复盘报告，针对运营中的不足提出优化方案，持续提升项目运营效能。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bookmarkStart w:id="5" w:name="heading_4"/>
      <w:r>
        <w:rPr>
          <w:rFonts w:ascii="宋体" w:hAnsi="宋体"/>
          <w:b/>
          <w:sz w:val="24"/>
          <w:szCs w:val="24"/>
        </w:rPr>
        <w:t>（四）进度要求</w:t>
      </w:r>
      <w:bookmarkEnd w:id="5"/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</w:t>
      </w:r>
      <w:r>
        <w:rPr>
          <w:rFonts w:ascii="宋体" w:hAnsi="宋体"/>
          <w:sz w:val="24"/>
          <w:szCs w:val="24"/>
        </w:rPr>
        <w:t>项目合同签订后</w:t>
      </w:r>
      <w:r>
        <w:rPr>
          <w:rFonts w:hint="eastAsia" w:ascii="宋体" w:hAnsi="宋体"/>
          <w:sz w:val="24"/>
          <w:szCs w:val="24"/>
        </w:rPr>
        <w:t>10</w:t>
      </w:r>
      <w:r>
        <w:rPr>
          <w:rFonts w:ascii="宋体" w:hAnsi="宋体"/>
          <w:sz w:val="24"/>
          <w:szCs w:val="24"/>
        </w:rPr>
        <w:t>个</w:t>
      </w:r>
      <w:r>
        <w:rPr>
          <w:rFonts w:hint="eastAsia" w:ascii="宋体" w:hAnsi="宋体"/>
          <w:sz w:val="24"/>
          <w:szCs w:val="24"/>
        </w:rPr>
        <w:t>工作</w:t>
      </w:r>
      <w:r>
        <w:rPr>
          <w:rFonts w:ascii="宋体" w:hAnsi="宋体"/>
          <w:sz w:val="24"/>
          <w:szCs w:val="24"/>
        </w:rPr>
        <w:t>日内，投标人需提交详细的年度运营计划（含活动策划、宣传方案、资源整合计划等）、专职人员名单（不少于5名）及项目专属宣传账号运营优化方案，经甲方审核通过后正式启动运营工作。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</w:t>
      </w:r>
      <w:r>
        <w:rPr>
          <w:rFonts w:ascii="宋体" w:hAnsi="宋体"/>
          <w:sz w:val="24"/>
          <w:szCs w:val="24"/>
        </w:rPr>
        <w:t>年度内按要求完成各类运营营销活动、宣传推广任务及数据复盘工作，其中大型房产展销活动需在重要节假日（春节、五一、端午、中秋、国庆、双十一</w:t>
      </w:r>
      <w:r>
        <w:rPr>
          <w:rFonts w:hint="eastAsia" w:ascii="宋体" w:hAnsi="宋体"/>
          <w:sz w:val="24"/>
          <w:szCs w:val="24"/>
        </w:rPr>
        <w:t>、双十二</w:t>
      </w:r>
      <w:r>
        <w:rPr>
          <w:rFonts w:ascii="宋体" w:hAnsi="宋体"/>
          <w:sz w:val="24"/>
          <w:szCs w:val="24"/>
        </w:rPr>
        <w:t>”等）或甲方指定节点按时落地，不得逾期。</w:t>
      </w:r>
    </w:p>
    <w:p>
      <w:pPr>
        <w:spacing w:line="46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3、根据年度</w:t>
      </w:r>
      <w:r>
        <w:rPr>
          <w:rFonts w:ascii="宋体" w:hAnsi="宋体"/>
          <w:sz w:val="24"/>
          <w:szCs w:val="24"/>
        </w:rPr>
        <w:t>工作</w:t>
      </w:r>
      <w:r>
        <w:rPr>
          <w:rFonts w:hint="eastAsia" w:ascii="宋体" w:hAnsi="宋体"/>
          <w:sz w:val="24"/>
          <w:szCs w:val="24"/>
        </w:rPr>
        <w:t>安排做好日常工作宣传及活动安排</w:t>
      </w:r>
      <w:r>
        <w:rPr>
          <w:rFonts w:ascii="宋体" w:hAnsi="宋体"/>
          <w:sz w:val="24"/>
          <w:szCs w:val="24"/>
        </w:rPr>
        <w:t>；每</w:t>
      </w:r>
      <w:r>
        <w:rPr>
          <w:rFonts w:hint="eastAsia" w:ascii="宋体" w:hAnsi="宋体"/>
          <w:sz w:val="24"/>
          <w:szCs w:val="24"/>
        </w:rPr>
        <w:t>周/月/季度</w:t>
      </w:r>
      <w:r>
        <w:rPr>
          <w:rFonts w:ascii="宋体" w:hAnsi="宋体"/>
          <w:sz w:val="24"/>
          <w:szCs w:val="24"/>
        </w:rPr>
        <w:t>向甲方提交项目执行</w:t>
      </w:r>
      <w:r>
        <w:rPr>
          <w:rFonts w:hint="eastAsia" w:ascii="宋体" w:hAnsi="宋体"/>
          <w:sz w:val="24"/>
          <w:szCs w:val="24"/>
        </w:rPr>
        <w:t>情况反馈</w:t>
      </w:r>
      <w:r>
        <w:rPr>
          <w:rFonts w:ascii="宋体" w:hAnsi="宋体"/>
          <w:sz w:val="24"/>
          <w:szCs w:val="24"/>
        </w:rPr>
        <w:t>，包括活动开展情况、宣传数据、成交统计、舆情处理情况、数据复盘及优化建议等；年度结束后20日内提交年度工作总结、成果汇编、数据复盘报告及相关佐证材料，申请项目验收。</w:t>
      </w:r>
    </w:p>
    <w:p>
      <w:pPr>
        <w:spacing w:line="460" w:lineRule="exact"/>
        <w:ind w:firstLine="482"/>
      </w:pPr>
      <w:r>
        <w:rPr>
          <w:rFonts w:hint="eastAsia" w:ascii="宋体" w:hAnsi="宋体"/>
          <w:sz w:val="24"/>
          <w:szCs w:val="24"/>
        </w:rPr>
        <w:t>4、</w:t>
      </w:r>
      <w:r>
        <w:rPr>
          <w:rFonts w:ascii="宋体" w:hAnsi="宋体"/>
          <w:sz w:val="24"/>
          <w:szCs w:val="24"/>
        </w:rPr>
        <w:t>项目执行过程中，如需调整活动计划、宣传方案或人员配置，需提前5个工作日向甲方提交书面申请及优化方案，经批准后方可实施；主动配合甲方开展各项检查、评估工作，及时落实甲方提出的优化要求。</w:t>
      </w:r>
    </w:p>
    <w:p>
      <w:pPr>
        <w:spacing w:line="460" w:lineRule="exact"/>
        <w:ind w:firstLine="482"/>
        <w:rPr>
          <w:rFonts w:ascii="宋体" w:hAnsi="宋体" w:cs="宋体"/>
          <w:b/>
          <w:sz w:val="24"/>
        </w:rPr>
      </w:pPr>
      <w:r>
        <w:rPr>
          <w:rFonts w:ascii="宋体" w:hAnsi="宋体"/>
          <w:b/>
          <w:sz w:val="24"/>
          <w:szCs w:val="24"/>
        </w:rPr>
        <w:t>（</w:t>
      </w:r>
      <w:r>
        <w:rPr>
          <w:rFonts w:hint="eastAsia" w:ascii="宋体" w:hAnsi="宋体"/>
          <w:b/>
          <w:sz w:val="24"/>
          <w:szCs w:val="24"/>
        </w:rPr>
        <w:t>五</w:t>
      </w:r>
      <w:r>
        <w:rPr>
          <w:rFonts w:ascii="宋体" w:hAnsi="宋体"/>
          <w:b/>
          <w:sz w:val="24"/>
          <w:szCs w:val="24"/>
        </w:rPr>
        <w:t>）</w:t>
      </w:r>
      <w:r>
        <w:rPr>
          <w:rFonts w:hint="eastAsia" w:ascii="宋体" w:hAnsi="宋体" w:cs="宋体"/>
          <w:b/>
          <w:sz w:val="24"/>
        </w:rPr>
        <w:t>投标报价及付款方式</w:t>
      </w:r>
    </w:p>
    <w:p>
      <w:pPr>
        <w:spacing w:line="460" w:lineRule="exact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5.1本项目投标报价须包括为完成本项目，但不仅限于服务酬金（包含服务人员工资、社会福利费、保险、公司管理费、利润、外勤等特殊津贴费、专业服务人员驻场服务费、税金等）、可报销费用（指服务人员为执行本项目服务任务而发生的工作费用，包括国际与国内交通费旅行费、食宿费、通讯费、各种资料的编制、打印、复印和传递费、办公设备和用品费、设施费）、会务费、出版费、研究费、售后服务、设备机械投入、管理费、利润、税金等政策性文件规定的各项所需的全部费用和不可预见费（指在酬金和可报销费用之外，在执行本项目服务任务的过程中所发生的额外的其它所有费用）。对投标人认为没有考虑到的费用采购人将不予支付，并认为此项费用已包含在投标报价中。</w:t>
      </w:r>
    </w:p>
    <w:p>
      <w:pPr>
        <w:spacing w:line="460" w:lineRule="exact"/>
        <w:ind w:firstLine="480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5.2付款方式</w:t>
      </w:r>
    </w:p>
    <w:p>
      <w:pPr>
        <w:spacing w:line="460" w:lineRule="exact"/>
        <w:ind w:firstLine="480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（1）合同签订一个月后，甲方自收到乙方完整的发票后10个工作日内支付合同金额的25%作为预付款；</w:t>
      </w:r>
    </w:p>
    <w:p>
      <w:pPr>
        <w:pStyle w:val="9"/>
        <w:spacing w:line="460" w:lineRule="exact"/>
        <w:rPr>
          <w:sz w:val="24"/>
        </w:rPr>
      </w:pPr>
      <w:r>
        <w:rPr>
          <w:rFonts w:hint="eastAsia"/>
          <w:sz w:val="24"/>
        </w:rPr>
        <w:t>（2）项目实施</w:t>
      </w:r>
      <w:r>
        <w:rPr>
          <w:rFonts w:hint="eastAsia"/>
          <w:sz w:val="24"/>
          <w:szCs w:val="24"/>
        </w:rPr>
        <w:t>8个月后根据服务内容完成情况支付中标价30%的服务费，剩余尾款根据考核验收结果支付。</w:t>
      </w:r>
    </w:p>
    <w:p>
      <w:pPr>
        <w:tabs>
          <w:tab w:val="left" w:pos="5325"/>
        </w:tabs>
        <w:spacing w:line="460" w:lineRule="exact"/>
        <w:ind w:firstLine="516"/>
        <w:contextualSpacing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="宋体" w:hAnsi="宋体"/>
          <w:sz w:val="24"/>
        </w:rPr>
        <w:t>注：每次付款，甲方应当自收到乙方完整的发票后10个工作日内支付资金，以上付款均无利息，一律通过银行结转。</w:t>
      </w:r>
    </w:p>
    <w:p>
      <w:pPr>
        <w:tabs>
          <w:tab w:val="left" w:pos="5325"/>
        </w:tabs>
        <w:spacing w:line="460" w:lineRule="exact"/>
        <w:ind w:firstLine="516"/>
        <w:contextualSpacing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二、</w:t>
      </w:r>
      <w:r>
        <w:rPr>
          <w:rFonts w:ascii="宋体" w:hAnsi="宋体"/>
          <w:b/>
          <w:sz w:val="24"/>
          <w:szCs w:val="24"/>
        </w:rPr>
        <w:t>核心服务要求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（一）运营营销活动服务要求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内外活动联动：全年采取“住房+”升级销售模式，在房产超市线下展馆开展或配合相关部门活动不少于24次，其中组织优质房企进园区、进单位、进社区活动不少于6次，组织人才、返乡人员、刚需/改善群体等特定人群看楼盘活动不少于6次，结合本地大型活动（苏超、马拉松等）联动房产活动不少于6次，依托房产超市开展吸引人气的大型赛事不少于3次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大型展销活动：结合重要节假日或甲方要求，开展大型房产展销活动不少于3次，活动需具备完善的组织方案、安全保障措施、精准营销方案及成交转化机制，参与房企数量、活动到访量、成交套数需有提升。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资源整合参与：邀请或组织不少于20家房地产中介或自媒体参与活动并宣传，参与频次不少于12次，建立稳定的合作资源库，深化资源联动，提升资源利用效率。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4. 活动策划创新性与专业性：投标人需基于对房产超市项目的深刻理解，结合房地产市场动态与购房群体需求变化，制定具有针对性、创新性、可落地的年度运营计划，高效组织系列房产促销活动；活动形式需多样化、精准化，可包括楼盘探盘、专家答疑、限时特价、秒杀专场、新楼开盘互动、购房补贴解读等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5. 运营经验要求：依托完善的运营团队及成功运营经验，保障活动流程顺畅、服务规范，确保活动参与人数与成交效果达到预期；投标人要求具备近5年内承办大型房产展会及住房促消费活动不少于2场的相关案例支撑，有同类房产超市项目运营经验优先考虑（提供相关佐证材料）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（二）宣传策划推广服务要求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全媒体覆盖要求：依托丰富的全媒体资源平台及传播手段，实现全市全域覆盖，宣传渠道需包括央媒、省级主流媒体、市级以上主流报刊、主流短视频平台、微信、微博、抖音、社区宣传、户外媒体等，确保在市级以上主流报刊媒体头版头条不少于4篇，整版推广不少于6个，深度报道和系列报道不少于6篇，每月至少一篇相关房产推介文章见报，不少于3次在市级以上主流媒体发布答记者问，解读相关政策和热点问题，构建多维度、全覆盖的宣传矩阵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音视频宣传要求：活动提前3-7天预热，通过专题宣传楼盘促销活动及政策不少于10次，宣传内容精准、专业、时效性强，可结合市场热点与购房需求优化宣传内容，提升宣传影响力。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新媒体推广要求：常规宣传每年不少于40篇，其中盐城发布、学习强国等主流媒体上发布短视频、新闻稿件不少于15篇，平均浏览量不少于5000次；全年开展常规直播活动不少于100场，其中楼盘探盘、专家答疑等专题直播达40场，限时特价、秒杀专场等促销直播达40场，新楼开盘、直播采访等互动直播达20场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4. 户外广告宣传：结合活动及政策发布需求，开展户外广告宣传，覆盖社区小区广告（灯箱/大屏/电梯屏）、政府楼宇和公交车载电视广告、商圈广告等，各类媒体每天播出频次不少于基础播放量，提升广告投放精准度与曝光量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5. 正面宣传引导与精准触达：组织引导20家以上自媒体或中介正面宣传盐城房产政策和房地产市场走势，每家自媒体或中介月均发布原创正面宣传信息不少于1篇；开展自媒体优秀作品评选以及金牌推介评选等活动不少于3次；结合购房群体细分，开展精准分众宣传，提升宣传触达率与转化率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（三）团队与平台服务要求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团队配置：投标人需组建不少于10名的专职专业运营团队，1人专职驻点。团队成员需具备房产行业相关经验、活动策划能力、宣传推广能力、舆情处理能力及数据复盘能力，其中至少2名成员具备同类房产超市项目运营经验；未经甲方允许不得随意更换团队成员，如需更换，需提前提交书面申请及替代人员资质证明，确保团队服务专业性与稳定性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平台建设：在微信、微博、抖音等各大媒体平台优化“盐城房产超市”专用账号运营，提升账号更新频次与内容质量，粉丝量不少于10000人；搭建线上咨询、楼盘展示、活动报名等便捷功能，提升用户体验。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响应与配合：团队需具备高效的响应速度，对甲方的工作要求、活动调整、舆情处理、数据查询等需求，需在2个工作日内反馈并落实；积极配合甲方开展各项检查、评估工作，提供真实有效的项目执行数据、复盘报告及相关佐证材料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（四）舆情管理与数据复盘服务要求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舆情管理：建立完善的舆情监测与处理机制，实现7×24小时舆情监测，及时发现房产超市项目相关的负面舆情，第一时间启动应对流程，妥善处置，避免舆情扩散；每月提交舆情分析报告，全年无重大负面舆情发生；因投标人过失导致重大负面舆情传播的，需承担相应责任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数据复盘：每月对项目运营数据、宣传数据、活动成交数据等进行复盘分析，形成复盘报告，提出针对性优化建议；每季度开展一次全面复盘，优化运营计划与宣传方案；年度提交完整的年度数据复盘报告，为项目后续运营提供支撑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（五）进度要求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项目合同签订后10个工作日内，投标人需提交详细的年度运营计划（含活动策划、宣传方案、资源整合计划等）、专职人员名单（不少于10名）及项目专属宣传账号运营优化方案，经甲方审核通过后正式启动运营工作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年度内按要求完成各类运营营销活动、宣传推广任务及数据复盘工作，其中大型房产展销活动需在重要节假日（春节、五一、端午、中秋、国庆、双十一、双十二”等）或甲方指定节点按时落地，不得逾期。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根据年度工作安排做好日常工作宣传及活动安排；每周/月/季度向甲方提交项目执行情况反馈，包括活动开展情况、宣传数据、成交统计、舆情处理情况、数据复盘及优化建议等；年度结束后20日内提交年度工作总结、成果汇编、数据复盘报告及相关佐证材料，申请项目验收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4. 项目执行过程中，如需调整活动计划、宣传方案或人员配置，需提前5个工作日向甲方提交书面申请及优化方案，经批准后方可实施；主动配合甲方开展各项检查、评估工作，及时落实甲方提出的优化要求。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二、服务</w:t>
      </w:r>
      <w:bookmarkStart w:id="6" w:name="heading_10"/>
      <w:r>
        <w:rPr>
          <w:rFonts w:hint="eastAsia" w:ascii="宋体" w:hAnsi="宋体" w:cs="宋体"/>
          <w:sz w:val="24"/>
          <w:szCs w:val="24"/>
        </w:rPr>
        <w:t>验收标准</w:t>
      </w:r>
      <w:bookmarkEnd w:id="6"/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（一）基础性考核验收标准（总分120分）</w:t>
      </w:r>
    </w:p>
    <w:tbl>
      <w:tblPr>
        <w:tblStyle w:val="14"/>
        <w:tblW w:w="9250" w:type="dxa"/>
        <w:tblInd w:w="-14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9"/>
        <w:gridCol w:w="1448"/>
        <w:gridCol w:w="4026"/>
        <w:gridCol w:w="2040"/>
        <w:gridCol w:w="8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blHeader/>
        </w:trPr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序号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考核类别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考核事项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验收标准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分值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运营营销活动方面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全年采取“住房+”升级销售模式，在房产超市线下展馆开展或配合相关部门活动不少于24次，其中组织优质房企进园区、进单位、进社区活动不少于6次，组织人才、返乡人员、刚需/改善群体等特定人群看楼盘活动不少于6次，结合本地大型活动（苏超、马拉松等）联动房产活动不少于6次，依托房产超市开展吸引人气的大型赛事不少于3次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完成全部要求得满分，每少1次扣1分，成效未达标扣2-5分，扣完为止。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大型房产展销活动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开展大型房产展销活动不少于3次，参与房企、到访量、成交套数优于同期。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完成得满分，每少1次扣5分。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3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中介/自媒体/房企资源整合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邀请或组织不少于20家本土房地产中介或自媒体参与活动并宣传不少于12次。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完成得满分，每少1次宣传扣1分，每少1家合作方扣0.5分，扣完为止。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4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宣传策划推广方面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平面媒体，新闻专题报道不少于12篇，并在报纸上开设专栏，挂牌宣传。市级以上主流媒体报道每季度不少于1篇2000字深度报道，主流报刊整版报道不少于6个，头版头条不少于4次。新媒体，在学习强国、盐城发布等省、市主流新媒体上推文不少于15篇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每少1项扣2分，扣完为止。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音视频、直播等专题宣传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通过视频频道（视频号、抖音号、小红书等）宣传不少于18次，宣传质量达标，均浏览量不少于5000次。全年直播不少于180场。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完成得满分，每少1次扣0.5分，扣完为止。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6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自媒体正面宣传引导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组织25家以上自媒体或中介月均发布原创正面宣传信息不少于1篇，开展评选活动不少于3次.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完成得满分，每少1家自媒体/中介扣0.5分，每少1次评选活动扣4分。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7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户外广告宣传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按要求覆盖指定户外广告媒体，每天播出频次不少于基础播放量，曝光量达标。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完成得满分，未达标按比例扣分。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线上房产超市AI数字人服务和IP设计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打造具有高度拟人交互能力的虚拟形象，用于客服、活动等多元场景。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经甲方审核完成得满分，不完成扣完。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9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舆情专报、房地产市场月报等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每月提供舆情专报1次，共12次。每季度提供1篇深度总结，不少于2000字。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完成得满分，少一次扣1分。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10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团队配合程度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甲方对运营团队执行效果、响应速度、配合度进行评价。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特别配合得3分，配合得2分，基本配合得1分，不配合不得分。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11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年度宣传效果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甲方对年度宣传效果、触达率、转化率进行主观评价。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效果显著得2分，效果较好得1分，效果一般得0.5分，效果较差不得分。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9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12</w:t>
            </w:r>
          </w:p>
        </w:tc>
        <w:tc>
          <w:tcPr>
            <w:tcW w:w="1448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其他</w:t>
            </w:r>
          </w:p>
        </w:tc>
        <w:tc>
          <w:tcPr>
            <w:tcW w:w="402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基础资料提交与平台建设</w:t>
            </w:r>
          </w:p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协议签订后5个自然日内提交年度运营计划、5名专职人员名单及账号优化方案，完成账号粉丝增长目标。</w:t>
            </w:r>
          </w:p>
        </w:tc>
        <w:tc>
          <w:tcPr>
            <w:tcW w:w="204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完成得满分，每逾期1天扣1分，未按要求提交每项扣2分，粉丝未达标扣3分。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383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合计</w:t>
            </w:r>
          </w:p>
        </w:tc>
        <w:tc>
          <w:tcPr>
            <w:tcW w:w="8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120</w:t>
            </w:r>
          </w:p>
        </w:tc>
      </w:tr>
    </w:tbl>
    <w:p>
      <w:pPr>
        <w:snapToGrid w:val="0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（二）奖励性考核验收标准（总分80分）</w:t>
      </w:r>
    </w:p>
    <w:tbl>
      <w:tblPr>
        <w:tblStyle w:val="14"/>
        <w:tblW w:w="9783" w:type="dxa"/>
        <w:tblInd w:w="-2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866"/>
        <w:gridCol w:w="2034"/>
        <w:gridCol w:w="2600"/>
        <w:gridCol w:w="3316"/>
        <w:gridCol w:w="96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序号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考核类别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奖励事项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验收标准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分值上限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运营营销活动方面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常规活动到访量。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每有一次常规活动到访人数达300人，得1分。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2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常规活动成交情况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常规活动实际成交。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每有一次常规活动实际成交8套以上（以企业上报认购情况为准），得1分。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3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大型展销活动参与量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大型房产展销活动参与人数。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每有一次大型房产展销活动参与人数达2500人次，得3分。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4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大型展销活动成交情况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大型房产展销活动实际成交。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每有一次大型房产展销活动实际成交30套以上（以企业上报认购情况为准），得2分。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中介/自媒体/房企资源拓展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额外增加中介/自媒体参与活动宣传次数。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每增加1次得2分；额外新增合作房企，每增加1家得1分。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6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宣传策划推广方面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媒体报道增量</w:t>
            </w:r>
          </w:p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额外增加央媒、省级主流媒体、新闻专题报道、市级以上主流报刊专版报道。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每增加1篇得1分。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7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音视频宣传增量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宣传时长超过10分钟的音视频专题宣传。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每增加1次得1分。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常规宣传增量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额外增加常规宣传篇数，每增加1篇得0.2分；短视频浏览量超10000次，每篇得0.3分。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9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直播活动效果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每有一场直播在线人数达150人且时长超1小时，得0.5分。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10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评选活动增量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额外增加自媒体优秀作品评选及金牌推介评选活动，每增加1次得2分。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6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11</w:t>
            </w:r>
          </w:p>
        </w:tc>
        <w:tc>
          <w:tcPr>
            <w:tcW w:w="2034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户外广告播放增量</w:t>
            </w:r>
          </w:p>
        </w:tc>
        <w:tc>
          <w:tcPr>
            <w:tcW w:w="2600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每增加一次户外广告基础播放量，得1分；新增户外广告投放渠道，每新增1个得2分。</w:t>
            </w:r>
          </w:p>
        </w:tc>
        <w:tc>
          <w:tcPr>
            <w:tcW w:w="3316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napToGrid w:val="0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c>
          <w:tcPr>
            <w:tcW w:w="8816" w:type="dxa"/>
            <w:gridSpan w:val="4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line="460" w:lineRule="exac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合计</w:t>
            </w:r>
          </w:p>
        </w:tc>
        <w:tc>
          <w:tcPr>
            <w:tcW w:w="967" w:type="dxa"/>
            <w:tcMar>
              <w:top w:w="60" w:type="dxa"/>
              <w:left w:w="120" w:type="dxa"/>
              <w:bottom w:w="30" w:type="dxa"/>
              <w:right w:w="120" w:type="dxa"/>
            </w:tcMar>
            <w:vAlign w:val="center"/>
          </w:tcPr>
          <w:p>
            <w:pPr>
              <w:spacing w:line="460" w:lineRule="exact"/>
              <w:rPr>
                <w:rFonts w:ascii="宋体" w:hAnsi="宋体" w:cs="宋体"/>
                <w:sz w:val="22"/>
              </w:rPr>
            </w:pPr>
            <w:r>
              <w:rPr>
                <w:rFonts w:hint="eastAsia" w:ascii="宋体" w:hAnsi="宋体" w:cs="宋体"/>
                <w:sz w:val="22"/>
              </w:rPr>
              <w:t>80</w:t>
            </w:r>
          </w:p>
        </w:tc>
      </w:tr>
    </w:tbl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（三）扣分项验收标准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发现严重负面舆情未及时解决、未按期完成任务事项、活动组织出现安全问题或重大失误、数据造假等情形，每次扣2分，累计扣分不超过10分。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因投标人过失导致重大负面舆情传播，每次扣3分，累计扣分不超过10分；舆情扩散造成严重影响的，额外扣5分。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运营成效未达到第一年同期水平，每项相关考核指标扣2-3分；未按要求提交复盘报告、执行报告等资料，每次扣1分，累计扣分不超过5分。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（四）综合验收要求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1. 项目验收总分=基础性考核得分+奖励性考核得分-扣分项得分，总分需达到150分及以上为合格，180分及以上为优秀，低于150分为不合格。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2. 投标人需在项目执行过程中留存完整的佐证材料，包括活动方案、参与名单、现场照片/视频、媒体报道截图、成交数据凭证、宣传数据统计报表、复盘报告、团队资质证明、活动案例佐证等，供甲方验收核查；佐证材料不完整、不真实的，视为验收不合格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3. 甲方将根据月度报告、季度总结、年度成果、佐证材料及现场核查情况，组织开展项目验收，验收不合格的，投标人需在甲方指定期限内整改，整改后仍不合格的，按合同约定承担相应责任。</w:t>
      </w:r>
    </w:p>
    <w:p>
      <w:pPr>
        <w:spacing w:line="460" w:lineRule="exact"/>
        <w:ind w:firstLine="480"/>
        <w:rPr>
          <w:rFonts w:ascii="宋体" w:hAnsi="宋体" w:cs="宋体"/>
          <w:sz w:val="24"/>
          <w:szCs w:val="24"/>
        </w:rPr>
      </w:pPr>
      <w:r>
        <w:rPr>
          <w:rFonts w:hint="eastAsia" w:ascii="宋体" w:hAnsi="宋体" w:cs="宋体"/>
          <w:sz w:val="24"/>
          <w:szCs w:val="24"/>
        </w:rPr>
        <w:t>4. 投标人需提供承办过大型房产展会及住房促消费活动不少于5场的相关案例佐证材料，以及同类房产超市项目运营经验佐证材料，无法提供或材料不合格的，视为验收不合格。</w:t>
      </w:r>
    </w:p>
    <w:p>
      <w:pPr>
        <w:tabs>
          <w:tab w:val="left" w:pos="5325"/>
        </w:tabs>
        <w:spacing w:line="460" w:lineRule="exact"/>
        <w:ind w:firstLine="516"/>
        <w:contextualSpacing/>
        <w:rPr>
          <w:rFonts w:asciiTheme="minorEastAsia" w:hAnsiTheme="minorEastAsia" w:cstheme="minorEastAsia"/>
          <w:b/>
          <w:sz w:val="24"/>
          <w:szCs w:val="24"/>
        </w:rPr>
      </w:pPr>
      <w:r>
        <w:rPr>
          <w:rFonts w:hint="eastAsia" w:asciiTheme="minorEastAsia" w:hAnsiTheme="minorEastAsia" w:cstheme="minorEastAsia"/>
          <w:b/>
          <w:sz w:val="24"/>
          <w:szCs w:val="24"/>
        </w:rPr>
        <w:t>四、供应商能力要求</w:t>
      </w:r>
    </w:p>
    <w:p>
      <w:pPr>
        <w:spacing w:line="460" w:lineRule="exact"/>
        <w:ind w:firstLine="480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供应商自2020年1月1日以来（以合同签订时间为准），承担过类似营销服务项目的优先。</w:t>
      </w:r>
    </w:p>
    <w:p>
      <w:pPr>
        <w:tabs>
          <w:tab w:val="left" w:pos="5325"/>
        </w:tabs>
        <w:spacing w:line="460" w:lineRule="exact"/>
        <w:ind w:firstLine="516"/>
        <w:contextualSpacing/>
        <w:rPr>
          <w:rFonts w:ascii="宋体" w:hAnsi="宋体" w:cs="宋体"/>
          <w:b/>
          <w:sz w:val="24"/>
          <w:szCs w:val="24"/>
        </w:rPr>
      </w:pPr>
      <w:r>
        <w:rPr>
          <w:rFonts w:hint="eastAsia" w:ascii="宋体" w:hAnsi="宋体" w:cs="宋体"/>
          <w:b/>
          <w:sz w:val="24"/>
          <w:szCs w:val="24"/>
        </w:rPr>
        <w:t>五、本项目实施方案</w:t>
      </w:r>
    </w:p>
    <w:bookmarkEnd w:id="0"/>
    <w:bookmarkEnd w:id="1"/>
    <w:p>
      <w:pPr>
        <w:spacing w:line="460" w:lineRule="exact"/>
        <w:ind w:firstLine="482"/>
        <w:jc w:val="left"/>
        <w:rPr>
          <w:rFonts w:hint="eastAsia" w:ascii="方正楷体_GBK" w:hAnsi="宋体" w:eastAsia="方正楷体_GBK"/>
          <w:sz w:val="24"/>
          <w:szCs w:val="24"/>
        </w:rPr>
      </w:pPr>
      <w:r>
        <w:rPr>
          <w:rFonts w:hint="eastAsia" w:ascii="方正楷体_GBK" w:hAnsi="宋体" w:eastAsia="方正楷体_GBK"/>
          <w:sz w:val="24"/>
          <w:szCs w:val="24"/>
        </w:rPr>
        <w:t>（一）项目理解与分析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背景理解深刻：精准阐述盐城房产市场的现状、特点、机遇与挑战，数据详实，分析有深度。分析应基于真实数据（可引用权威统计数据或市场报告），逻辑清晰，能体现出对本地市场的深刻洞察，能结合驻盐高校智库及社科院智库推出季度或年度房产白皮书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政策解读精准：系统梳理并与本项目关联国家、江苏省及盐城市近期发布的与房地产相关的政策（如促进住房消费、人才购房、金融信贷等政策）。说明如何利用这些政策为活动策划和宣传推广赋能，引导市场预期。政策引用准确、及时，能具体说明某项政策将如何应用于某类活动或宣传节点，体现出对政策红利的把握能力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3、规划衔接紧密：解读盐城市城市总体规划、经济发展规划、住房发展规划等文件中与本项目相关的目标和要求。说明本项目如何与城市发展大局协同，服务于盐城市更长远的城市建设与民生改善目标。 规划衔接具体，能说明房产超市的活动如何呼应城市发展方向（如重点区域发展、产业人才引进等），有与资规系统、人社系统有密切联系合作案例。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现状分析透彻：基于“房产超市”第一年的运营情况，全面总结其成功经验、存在不足、客户反馈及未满足的需求。通过SWOT分析（优势、劣势、机会、威胁）等方法，明确第二年运营的起点和需要重点突破的环节。分析应客观、具体，最好能引用第一年的具体数据（如活动场次、参与人数、媒体报道量等）进行对比，为第二年的目标设定和策略制定提供坚实基础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（二）项目重点与难点分析及解决方案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1、重点分析： 精准识别并阐述本项目成功的关键要素。例如：如何实现从“流量”到“销量”的有效转化？如何整合分散的房企、中介、媒体资源形成合力？如何针对刚需、改善、人才等不同群体开展精准营销？如何构建可持续、有粘性的线上平台？重点突出，与项目总体目标高度相关，并能说明为何这些点是实现目标的重中之重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难点与对策：预见项目实施过程中可能遇到的难点和风险点。例如：大型活动的人员组织与安全保障、负面舆情的快速响应与处置、多场次直播的内容创新与观众维持、不同渠道宣传效果的评估与优化、与众多合作方的协调沟通等。对每个识别出的难点，需提供具体、可行的应对策略或预案。对策应体现专业经验和创新思维，而非空洞的承诺，能按季度提供舆情分析报告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（三）项目运营思路、目标、技术路线与成果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运营思路与原则：提出清晰的总体运营思路（如“线上引爆、线下转化”、“全域传播、精准触达”等）。阐述方案所遵循的核心原则，如创新性、实效性、安全性、数据驱动等。思路明确，具有引领性和概括性，能贯穿后续所有具体活动，有省级以上平台运营推广方案，有在长三角城市推广经验和落地实施方案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目标体系：设定科学、可衡量的量化与非量化目标体系。不仅需响应招标文件的最低要求（如15次活动、180场直播等），更应提出具有挑战性的进阶目标（如到访量、成交套数、媒体曝光量、粉丝增长量等的具体提升百分比）。目标应遵循SMART原则（具体的、可衡量的、可实现的、相关的、有时限的）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3、技术路线与实施策略： 详细说明为实现目标所采取的技术方法、运营策略和宣传手段。描述各类活动（如“住房+”活动、大型展会、看房团）的具体流程、创新亮点、互动环节设计。制定分阶段、分渠道、分受众的整合营销传播计划。说明内容创意、媒体组合、流量投放、效果监测等方法。提及可能用到的技术工具，如活动管理软件、舆情监测系统、直播设备、数据分析平台等。方法具体、策略多样、路径清晰，体现出专业性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成果组成：清晰列出项目执行期间和结束后将交付的全部成果清单。除招标文件要求的外，可增加增值成果，如：年度/季度/月度运营报告、宣传效果评估报告、用户画像分析报告、典型案例汇编、活动精彩集锦视频等。成果体系完整，格式要求明确，能全面反映工作量和项目价值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（四） 项目组织、协同与实施方法 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1、各方参与方式 ：设计房企、中介、媒体、市民等利益相关方参与项目的具体方式和激励机制，确保活动不是“独角戏”，而是“大合唱”。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2、多专业融合：阐述如何将活动策划、新媒体运营、视觉设计、视频制作、数据分析等不同专业能力在项目中有机结合，确保产出内容的质量和一致性。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3、编制方法：说明项目管理的整体方法论，如采用PDCA（计划-执行-检查-处理）循环进行持续优化，体现精益管理的思路。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部门协同：建立与采购人（盐城市住建局）及其他相关部门的高效协同工作机制。包括定期沟通会议制度、信息报送流程、联合检查安排、紧急事务处理路径等。机制设计合理，责任明确，沟通渠道畅通，能有效保障项目响应速度和执行效率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（五）项目团队与质量保障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1、团队人员配备 ：提供拟投入本项目的核心团队成员名单、职责分工、简历。重点说明其在房产营销、活动策划、媒体传播、舆情管理等领域的相关经验和成功案例。团队结构合理，人员经验与项目需求高度匹配，承诺投入时间有保障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2、组织管理体系：展示项目的组织架构图，明确项目总负责人、各分组负责人及其权责关系。描述内部决策、任务分发、进度控制的流程。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3、工作推进计划：提供详细的工作计划表或甘特图，将全年工作分解到月、周，明确各项任务的开端和结束时间、里程碑节点、负责人。计划需考虑节假日因素，安排合理。</w:t>
      </w:r>
    </w:p>
    <w:p>
      <w:pPr>
        <w:spacing w:line="460" w:lineRule="exact"/>
        <w:ind w:firstLine="482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4、成果质量管控 ：制定全面的质量控制方案，包括：方案三级审核（自审、团队审、公司审）机制、活动执行前的沙盘推演与预案检查、宣传物料的内容校对与合规性审查、数据统计的交叉复核、定期内部质量评审会等。管控措施具体、可追溯，能有效防范差错，保障最终成果的高标准。</w:t>
      </w:r>
    </w:p>
    <w:p>
      <w:pPr>
        <w:pStyle w:val="21"/>
        <w:spacing w:line="460" w:lineRule="exact"/>
        <w:ind w:firstLine="482"/>
        <w:rPr>
          <w:rFonts w:ascii="宋体" w:hAnsi="宋体" w:cs="宋体"/>
          <w:b/>
          <w:color w:val="auto"/>
        </w:rPr>
      </w:pPr>
      <w:r>
        <w:rPr>
          <w:rFonts w:hint="eastAsia" w:ascii="宋体" w:hAnsi="宋体" w:cs="宋体"/>
          <w:b/>
          <w:color w:val="auto"/>
        </w:rPr>
        <w:t>六、采购标的对应的中小企业划分标准所属行业一览表</w:t>
      </w:r>
    </w:p>
    <w:tbl>
      <w:tblPr>
        <w:tblStyle w:val="14"/>
        <w:tblW w:w="8928" w:type="dxa"/>
        <w:jc w:val="center"/>
        <w:tblCellSpacing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57"/>
        <w:gridCol w:w="2809"/>
        <w:gridCol w:w="4962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atLeast"/>
          <w:tblCellSpacing w:w="0" w:type="dxa"/>
          <w:jc w:val="center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序号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采购标的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对应中小企业划分标准所属行业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  <w:tblCellSpacing w:w="0" w:type="dxa"/>
          <w:jc w:val="center"/>
        </w:trPr>
        <w:tc>
          <w:tcPr>
            <w:tcW w:w="11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1</w:t>
            </w:r>
          </w:p>
        </w:tc>
        <w:tc>
          <w:tcPr>
            <w:tcW w:w="28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2026年房产超市运营营销活动和宣传策划推广</w:t>
            </w:r>
          </w:p>
        </w:tc>
        <w:tc>
          <w:tcPr>
            <w:tcW w:w="49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pStyle w:val="8"/>
              <w:spacing w:beforeAutospacing="0" w:afterAutospacing="0" w:line="460" w:lineRule="exact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其他未列明行业</w:t>
            </w:r>
          </w:p>
        </w:tc>
      </w:tr>
    </w:tbl>
    <w:p>
      <w:pPr>
        <w:spacing w:line="360" w:lineRule="auto"/>
        <w:ind w:firstLine="480"/>
        <w:rPr>
          <w:rFonts w:ascii="宋体" w:hAnsi="宋体" w:cs="宋体"/>
          <w:sz w:val="24"/>
          <w:szCs w:val="24"/>
        </w:rPr>
      </w:pPr>
    </w:p>
    <w:p>
      <w:pPr>
        <w:spacing w:line="360" w:lineRule="auto"/>
        <w:ind w:firstLine="480" w:firstLineChars="200"/>
        <w:rPr>
          <w:rFonts w:ascii="宋体" w:hAnsi="宋体" w:eastAsia="宋体"/>
          <w:sz w:val="24"/>
          <w:szCs w:val="24"/>
        </w:rPr>
      </w:pPr>
    </w:p>
    <w:sectPr>
      <w:pgSz w:w="11905" w:h="16840"/>
      <w:pgMar w:top="1440" w:right="1800" w:bottom="1440" w:left="1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MT Extra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华文中宋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华文中宋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华文中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_GB2312">
    <w:altName w:val="方正楷体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ZWI5NTVjNzkxOWZiOWY2OTM2NjMyMDRhZTAyYWMifQ=="/>
  </w:docVars>
  <w:rsids>
    <w:rsidRoot w:val="002F29E2"/>
    <w:rsid w:val="00124508"/>
    <w:rsid w:val="00207564"/>
    <w:rsid w:val="002F29E2"/>
    <w:rsid w:val="004D31B0"/>
    <w:rsid w:val="00611D6D"/>
    <w:rsid w:val="00624A70"/>
    <w:rsid w:val="007C5450"/>
    <w:rsid w:val="00911D93"/>
    <w:rsid w:val="009D6689"/>
    <w:rsid w:val="00B8362A"/>
    <w:rsid w:val="161D0664"/>
    <w:rsid w:val="166D482B"/>
    <w:rsid w:val="19BA15A0"/>
    <w:rsid w:val="1B9118D8"/>
    <w:rsid w:val="253D487F"/>
    <w:rsid w:val="2B572A18"/>
    <w:rsid w:val="2D8D5C78"/>
    <w:rsid w:val="35FA442F"/>
    <w:rsid w:val="36755F2D"/>
    <w:rsid w:val="3AA22DF0"/>
    <w:rsid w:val="6A2627B9"/>
    <w:rsid w:val="72204995"/>
    <w:rsid w:val="77F42148"/>
    <w:rsid w:val="7D2F6AC2"/>
    <w:rsid w:val="EDEEB91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qFormat="1" w:uiPriority="99" w:semiHidden="0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jc w:val="center"/>
      <w:outlineLvl w:val="0"/>
    </w:pPr>
    <w:rPr>
      <w:rFonts w:ascii="楷体_GB2312" w:eastAsia="楷体_GB2312"/>
      <w:sz w:val="28"/>
      <w:szCs w:val="28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next w:val="4"/>
    <w:qFormat/>
    <w:uiPriority w:val="0"/>
    <w:pPr>
      <w:ind w:firstLine="645"/>
    </w:pPr>
    <w:rPr>
      <w:rFonts w:ascii="楷体_GB2312" w:eastAsia="楷体_GB2312"/>
      <w:sz w:val="32"/>
      <w:szCs w:val="32"/>
    </w:rPr>
  </w:style>
  <w:style w:type="paragraph" w:styleId="4">
    <w:name w:val="envelope return"/>
    <w:basedOn w:val="1"/>
    <w:unhideWhenUsed/>
    <w:qFormat/>
    <w:uiPriority w:val="99"/>
    <w:rPr>
      <w:rFonts w:ascii="Arial" w:hAnsi="Arial"/>
    </w:rPr>
  </w:style>
  <w:style w:type="paragraph" w:styleId="5">
    <w:name w:val="Balloon Text"/>
    <w:basedOn w:val="1"/>
    <w:link w:val="20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sz w:val="24"/>
      <w:szCs w:val="24"/>
    </w:rPr>
  </w:style>
  <w:style w:type="paragraph" w:styleId="9">
    <w:name w:val="Body Text First Indent 2"/>
    <w:basedOn w:val="3"/>
    <w:next w:val="10"/>
    <w:qFormat/>
    <w:uiPriority w:val="0"/>
    <w:pPr>
      <w:spacing w:line="360" w:lineRule="auto"/>
      <w:ind w:firstLine="420"/>
    </w:pPr>
    <w:rPr>
      <w:rFonts w:ascii="宋体" w:hAnsi="宋体" w:eastAsia="宋体"/>
      <w:sz w:val="21"/>
      <w:szCs w:val="20"/>
    </w:rPr>
  </w:style>
  <w:style w:type="paragraph" w:customStyle="1" w:styleId="10">
    <w:name w:val="样式 标题 3 + (中文) 黑体 小四 非加粗 段前: 7.8 磅 段后: 0 磅 行距: 固定值 20 磅_0"/>
    <w:basedOn w:val="11"/>
    <w:qFormat/>
    <w:uiPriority w:val="0"/>
    <w:pPr>
      <w:spacing w:before="0" w:after="0" w:line="400" w:lineRule="exact"/>
    </w:pPr>
    <w:rPr>
      <w:rFonts w:ascii="Times New Roman" w:hAnsi="Times New Roman" w:eastAsia="黑体" w:cs="宋体"/>
      <w:b w:val="0"/>
      <w:bCs w:val="0"/>
      <w:sz w:val="21"/>
      <w:szCs w:val="20"/>
    </w:rPr>
  </w:style>
  <w:style w:type="paragraph" w:customStyle="1" w:styleId="11">
    <w:name w:val="标题 3_0"/>
    <w:basedOn w:val="12"/>
    <w:next w:val="13"/>
    <w:qFormat/>
    <w:uiPriority w:val="0"/>
    <w:pPr>
      <w:keepNext/>
      <w:keepLines/>
      <w:spacing w:before="260" w:after="260" w:line="416" w:lineRule="auto"/>
      <w:outlineLvl w:val="2"/>
    </w:pPr>
    <w:rPr>
      <w:rFonts w:eastAsia="宋体"/>
      <w:b/>
      <w:bCs/>
      <w:sz w:val="32"/>
      <w:szCs w:val="32"/>
    </w:rPr>
  </w:style>
  <w:style w:type="paragraph" w:customStyle="1" w:styleId="12">
    <w:name w:val="正文_0"/>
    <w:next w:val="9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paragraph" w:customStyle="1" w:styleId="13">
    <w:name w:val="正文_1"/>
    <w:next w:val="9"/>
    <w:qFormat/>
    <w:uiPriority w:val="0"/>
    <w:pPr>
      <w:widowControl w:val="0"/>
      <w:jc w:val="both"/>
    </w:pPr>
    <w:rPr>
      <w:rFonts w:ascii="Calibri" w:hAnsi="Calibri" w:eastAsia="仿宋_GB2312" w:cs="Times New Roman"/>
      <w:kern w:val="2"/>
      <w:sz w:val="21"/>
      <w:szCs w:val="22"/>
      <w:lang w:val="en-US" w:eastAsia="zh-CN" w:bidi="ar-SA"/>
    </w:rPr>
  </w:style>
  <w:style w:type="character" w:customStyle="1" w:styleId="16">
    <w:name w:val="页眉 Char"/>
    <w:basedOn w:val="15"/>
    <w:link w:val="7"/>
    <w:qFormat/>
    <w:uiPriority w:val="99"/>
    <w:rPr>
      <w:sz w:val="18"/>
      <w:szCs w:val="18"/>
    </w:rPr>
  </w:style>
  <w:style w:type="character" w:customStyle="1" w:styleId="17">
    <w:name w:val="页脚 Char"/>
    <w:basedOn w:val="15"/>
    <w:link w:val="6"/>
    <w:qFormat/>
    <w:uiPriority w:val="99"/>
    <w:rPr>
      <w:sz w:val="18"/>
      <w:szCs w:val="18"/>
    </w:rPr>
  </w:style>
  <w:style w:type="paragraph" w:styleId="18">
    <w:name w:val="List Paragraph"/>
    <w:basedOn w:val="1"/>
    <w:qFormat/>
    <w:uiPriority w:val="34"/>
    <w:pPr>
      <w:ind w:firstLine="420" w:firstLineChars="200"/>
    </w:pPr>
  </w:style>
  <w:style w:type="paragraph" w:customStyle="1" w:styleId="19">
    <w:name w:val="me-正文"/>
    <w:basedOn w:val="1"/>
    <w:qFormat/>
    <w:uiPriority w:val="99"/>
    <w:pPr>
      <w:spacing w:line="579" w:lineRule="exact"/>
      <w:ind w:firstLine="200" w:firstLineChars="200"/>
    </w:pPr>
    <w:rPr>
      <w:rFonts w:ascii="Times New Roman" w:hAnsi="Times New Roman" w:eastAsia="方正仿宋_GBK"/>
      <w:sz w:val="32"/>
      <w:szCs w:val="21"/>
    </w:rPr>
  </w:style>
  <w:style w:type="character" w:customStyle="1" w:styleId="20">
    <w:name w:val="批注框文本 Char"/>
    <w:basedOn w:val="15"/>
    <w:link w:val="5"/>
    <w:semiHidden/>
    <w:qFormat/>
    <w:uiPriority w:val="99"/>
    <w:rPr>
      <w:kern w:val="2"/>
      <w:sz w:val="18"/>
      <w:szCs w:val="18"/>
    </w:rPr>
  </w:style>
  <w:style w:type="paragraph" w:customStyle="1" w:styleId="21">
    <w:name w:val="Default"/>
    <w:qFormat/>
    <w:uiPriority w:val="99"/>
    <w:pPr>
      <w:widowControl w:val="0"/>
    </w:pPr>
    <w:rPr>
      <w:rFonts w:ascii="Times New Roman" w:hAnsi="Times New Roman" w:eastAsia="宋体" w:cs="Times New Roman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12</Pages>
  <Words>1436</Words>
  <Characters>8186</Characters>
  <Lines>68</Lines>
  <Paragraphs>19</Paragraphs>
  <TotalTime>0</TotalTime>
  <ScaleCrop>false</ScaleCrop>
  <LinksUpToDate>false</LinksUpToDate>
  <CharactersWithSpaces>9603</CharactersWithSpaces>
  <Application>WPS Office_11.8.2.9339_F1E327BC-269C-435d-A152-05C5408002CA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2026-03-04T16:14:00Z</dcterms:created>
  <dc:creator>User</dc:creator>
  <cp:lastModifiedBy>吴军中</cp:lastModifiedBy>
  <dcterms:modified xsi:type="dcterms:W3CDTF">2026-03-04T17:49:29Z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eyJoZGlkIjoiMmY2NzM0NWQ2YzBjMjBlZWU1MzNmNGUxNGY0Y2ZhMTciLCJ1c2VySWQiOiI0NDk0MzA0NzUifQ==</vt:lpwstr>
  </property>
  <property fmtid="{D5CDD505-2E9C-101B-9397-08002B2CF9AE}" pid="3" name="KSOProductBuildVer">
    <vt:lpwstr>2052-11.8.2.9339</vt:lpwstr>
  </property>
  <property fmtid="{D5CDD505-2E9C-101B-9397-08002B2CF9AE}" pid="4" name="ICV">
    <vt:lpwstr>E8662E8F9F2A459C83984089FD029C39_12</vt:lpwstr>
  </property>
</Properties>
</file>